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EC0" w:rsidRDefault="00CF6EC0" w:rsidP="00CF6EC0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>
        <w:rPr>
          <w:szCs w:val="22"/>
        </w:rPr>
        <w:t xml:space="preserve">Wymagania edukacyjne na poszczególne oceny wynikające z realizacji programu nauczania w oparciu o podręcznik do religii  wydawnictwa Święty Wojciech „Mocą Ducha Świętego zmieniamy świat”  dla klasy ósmej szkoły podstawowej. </w:t>
      </w:r>
    </w:p>
    <w:p w:rsidR="00CF6EC0" w:rsidRDefault="00CF6EC0" w:rsidP="00CF6EC0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>
        <w:rPr>
          <w:szCs w:val="22"/>
        </w:rPr>
        <w:t>Wersja – 30 jednostek lekcyjnych</w:t>
      </w:r>
    </w:p>
    <w:p w:rsidR="00CF6EC0" w:rsidRDefault="00CF6EC0" w:rsidP="00CF6EC0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Przedmiot: religia</w:t>
      </w:r>
    </w:p>
    <w:p w:rsidR="00CF6EC0" w:rsidRDefault="00CF6EC0" w:rsidP="00CF6EC0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>
        <w:rPr>
          <w:szCs w:val="22"/>
        </w:rPr>
        <w:t>Program – AZ-2-01/18</w:t>
      </w:r>
    </w:p>
    <w:p w:rsidR="00CF6EC0" w:rsidRDefault="00CF6EC0" w:rsidP="00CF6EC0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>
        <w:rPr>
          <w:szCs w:val="22"/>
        </w:rPr>
        <w:t>Numer podręcznika:  AZ-24-01/18-PO-7/23, zatwierdzenie z dnia 3 marca 2023 r.</w:t>
      </w:r>
    </w:p>
    <w:p w:rsidR="00CF6EC0" w:rsidRDefault="00CF6EC0" w:rsidP="00CF6EC0">
      <w:pPr>
        <w:pStyle w:val="Podtytu"/>
        <w:spacing w:line="276" w:lineRule="auto"/>
        <w:ind w:left="0"/>
        <w:contextualSpacing/>
        <w:jc w:val="left"/>
        <w:rPr>
          <w:b w:val="0"/>
          <w:szCs w:val="22"/>
        </w:rPr>
      </w:pPr>
    </w:p>
    <w:p w:rsidR="00CF6EC0" w:rsidRDefault="00CF6EC0" w:rsidP="00CF6EC0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Treści nauczania</w:t>
      </w:r>
      <w:r>
        <w:rPr>
          <w:b w:val="0"/>
          <w:szCs w:val="22"/>
        </w:rPr>
        <w:t xml:space="preserve"> wynikające z podstawy programowej oraz wymagania dla uczniów dostosowane do każdej jednostki lekcyjnej zawartej w podręczniku podano w </w:t>
      </w:r>
      <w:r>
        <w:rPr>
          <w:szCs w:val="22"/>
        </w:rPr>
        <w:t>rocznych planach wynikowych</w:t>
      </w:r>
      <w:r>
        <w:rPr>
          <w:b w:val="0"/>
          <w:szCs w:val="22"/>
        </w:rPr>
        <w:t xml:space="preserve"> opracowanych dla wszystkich poziomów nauczania.</w:t>
      </w:r>
    </w:p>
    <w:p w:rsidR="00CF6EC0" w:rsidRDefault="00CF6EC0" w:rsidP="00CF6EC0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szCs w:val="22"/>
        </w:rPr>
        <w:t>Zasady oceniania</w:t>
      </w:r>
      <w:r>
        <w:rPr>
          <w:b w:val="0"/>
          <w:szCs w:val="22"/>
        </w:rPr>
        <w:t xml:space="preserve"> (zgodne w wytycznymi Komisji Wychowania Katolickiego Konferencji Episkopatu Polski z 2008 r.):</w:t>
      </w:r>
    </w:p>
    <w:p w:rsid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Ocenianiu nie podlegają praktyki religijne.</w:t>
      </w:r>
    </w:p>
    <w:p w:rsid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są jawne dla ucznia i jego rodziców (prawnych opiekunów).</w:t>
      </w:r>
    </w:p>
    <w:p w:rsidR="00CF6EC0" w:rsidRP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Nauczyciele religii są zobowiązani do podania wymagań edukacyjnych niezbędnych do uzyskania poszczególnych ocen śródrocznych i rocznych z religii oraz sposobu sprawdzania osiągnięć edukacyjnych uczniów.</w:t>
      </w:r>
    </w:p>
    <w:p w:rsid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Nauczyciele religii są zobowiązani do dostosowania wymagań edukacyjnych do indywidualnych potrzeb i możliwości psychofizycznych oraz edukacyjnych uczniów posiadających opinie wydane przez poradnie psychologiczno-pedagogiczne.</w:t>
      </w:r>
    </w:p>
    <w:p w:rsid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ustala się w stopniach w zakresie skali od 1 do 6.</w:t>
      </w:r>
    </w:p>
    <w:p w:rsid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 ma prawo zgłosić nieprzygotowanie do lekcji w ilości zgodnej z zasadami przyjętymi w szkole (przy dwóch godzinach zajęć w tygodniu, są to najczęściej dwa nieprzygotowania w półroczu).</w:t>
      </w:r>
    </w:p>
    <w:p w:rsidR="00CF6EC0" w:rsidRDefault="00CF6EC0" w:rsidP="00CF6EC0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 może oceniać pamięciowe opanowanie modlitw, pod warunkiem, że postarał się o wytłumaczenie ich znaczenia w trakcie zajęć.</w:t>
      </w:r>
    </w:p>
    <w:p w:rsidR="00CF6EC0" w:rsidRDefault="00CF6EC0" w:rsidP="00CF6EC0">
      <w:pPr>
        <w:pStyle w:val="Podtytu"/>
        <w:ind w:left="0"/>
        <w:contextualSpacing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Obszary oceniania</w:t>
      </w:r>
      <w:r>
        <w:rPr>
          <w:b w:val="0"/>
          <w:szCs w:val="22"/>
        </w:rPr>
        <w:t>: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b w:val="0"/>
          <w:szCs w:val="22"/>
        </w:rPr>
        <w:t>Ponieważ najważniejszym zadaniem nauczyciela jest spowodowanie samodzielnego uczenia się uczniów, przebieg zajęć powinien aktywizować uczących się do podejmowania działań mających na celu zdobywanie wiedzy oraz samodzielnego i twórczego wykorzystywania tego, co przyswoili. Dlatego też niezwykle ważnym obszarem jest oceniania aktywności uczniów na zajęciach oraz systematyczność w pracy na lekcji, w tym także prowadzenie i uzupełniania ćwiczeń będących integralną częścią podręcznika. Należy zwracać uwagę na wykonanie przez uczniów quizów sprawdzających wiedzę na zakończenie każdego działu. Można przeprowadzać kartkówki, ale należy je zapowiedzieć i wyraźnie określić zakres materiału.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b w:val="0"/>
          <w:szCs w:val="22"/>
        </w:rPr>
        <w:t>Szczególną uwagę należy zwrócić na prace dodatkowe wykonywane przez uczniów. Może to być przygotowanie do udziału w konkursach, w proponowanych zajęciach dodatkowych, wystąpieniach w szkole lub poza nią (o charakterze religijnym), udziału w działaniach mających na celu niesienie pomocy innym, wynikającym z realizacji przykazania miłości Boga i bliźniego.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ind w:left="0"/>
        <w:contextualSpacing/>
        <w:jc w:val="both"/>
        <w:rPr>
          <w:szCs w:val="22"/>
        </w:rPr>
      </w:pPr>
      <w:r>
        <w:rPr>
          <w:szCs w:val="22"/>
        </w:rPr>
        <w:lastRenderedPageBreak/>
        <w:t>Ogólne kryteria ocen z religii:</w:t>
      </w:r>
    </w:p>
    <w:p w:rsidR="00CF6EC0" w:rsidRDefault="00CF6EC0" w:rsidP="00CF6EC0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Celujący</w:t>
      </w:r>
      <w:r>
        <w:rPr>
          <w:b w:val="0"/>
          <w:szCs w:val="22"/>
        </w:rPr>
        <w:t xml:space="preserve">: </w:t>
      </w:r>
    </w:p>
    <w:p w:rsidR="00CF6EC0" w:rsidRDefault="00CF6EC0" w:rsidP="00CF6EC0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6EC0" w:rsidRPr="00DA03B5" w:rsidRDefault="00CF6EC0" w:rsidP="00DA03B5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spełnia wymagania na ocenę bardzo dobrą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aktywnie uczestniczy w zajęciach i systematycznie prowadzi ćwiczenia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wykonuje dodatkowe zadania dla chętnych 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bierze udział w konkursach przedmiotowych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uczestniczy w zajęciach dodatkowych o tematyce religijnej w szkole lub parafii</w:t>
      </w:r>
    </w:p>
    <w:p w:rsidR="00CF6EC0" w:rsidRDefault="00CF6EC0" w:rsidP="005A240D">
      <w:pPr>
        <w:pStyle w:val="Podtytu"/>
        <w:ind w:left="0"/>
        <w:jc w:val="both"/>
        <w:rPr>
          <w:szCs w:val="22"/>
        </w:rPr>
      </w:pPr>
      <w:r>
        <w:rPr>
          <w:szCs w:val="22"/>
        </w:rPr>
        <w:t>Bardzo dobry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określane programem nauczania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prawidłowo uzupełnione ćwiczenia w podręczniku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chętnie i systematycznie uczestniczy w zajęciach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aktywny na zajęciach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6EC0" w:rsidRDefault="00CF6EC0" w:rsidP="005A240D">
      <w:pPr>
        <w:pStyle w:val="Podtytu"/>
        <w:ind w:left="0"/>
        <w:jc w:val="both"/>
        <w:rPr>
          <w:szCs w:val="22"/>
        </w:rPr>
      </w:pPr>
      <w:r>
        <w:rPr>
          <w:szCs w:val="22"/>
        </w:rPr>
        <w:t>Dobry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określone programem nauczania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dobrą umiejętność zastosowania zdobytej wiedzy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osiąga postępy podczas zajęć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chętny do pracy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6EC0" w:rsidRDefault="00CF6EC0" w:rsidP="005A240D">
      <w:pPr>
        <w:pStyle w:val="Podtytu"/>
        <w:ind w:left="0"/>
        <w:jc w:val="both"/>
        <w:rPr>
          <w:szCs w:val="22"/>
        </w:rPr>
      </w:pPr>
      <w:r>
        <w:rPr>
          <w:szCs w:val="22"/>
        </w:rPr>
        <w:t>Dostateczny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umożliwiające dalsze zdobywanie wiedzy,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 jego wiadomościach są wyraźne luki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wykazuje chęć do pracy na zajęciach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braki w wykonywaniu ćwiczeń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6EC0" w:rsidRDefault="00CF6EC0" w:rsidP="005A240D">
      <w:pPr>
        <w:pStyle w:val="Podtytu"/>
        <w:ind w:left="0"/>
        <w:jc w:val="both"/>
        <w:rPr>
          <w:szCs w:val="22"/>
        </w:rPr>
      </w:pPr>
      <w:r>
        <w:rPr>
          <w:szCs w:val="22"/>
        </w:rPr>
        <w:t>Dopuszczający: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zdobyte wiadomości nie są wystarczające do uzyskania podstawowej wiedzy religijnej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niechętnie uczestniczy w zajęciach</w:t>
      </w:r>
    </w:p>
    <w:p w:rsidR="00CF6EC0" w:rsidRDefault="00CF6EC0" w:rsidP="00CF6EC0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wymaga pomocy przy wykonywaniu prostych zadań</w:t>
      </w:r>
    </w:p>
    <w:p w:rsidR="00CF6EC0" w:rsidRDefault="00CF6EC0" w:rsidP="00CF6EC0">
      <w:pPr>
        <w:pStyle w:val="Podtytu"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jc w:val="both"/>
        <w:rPr>
          <w:b w:val="0"/>
          <w:szCs w:val="22"/>
        </w:rPr>
      </w:pPr>
    </w:p>
    <w:p w:rsidR="00CF6EC0" w:rsidRDefault="00CF6EC0" w:rsidP="00CF6EC0">
      <w:pPr>
        <w:pStyle w:val="Podtytu"/>
        <w:jc w:val="both"/>
        <w:rPr>
          <w:b w:val="0"/>
          <w:szCs w:val="22"/>
        </w:rPr>
      </w:pPr>
      <w:r>
        <w:rPr>
          <w:szCs w:val="22"/>
        </w:rPr>
        <w:lastRenderedPageBreak/>
        <w:t>Sposoby informowania uczniów i rodziców o ocenach</w:t>
      </w:r>
      <w:r>
        <w:rPr>
          <w:b w:val="0"/>
          <w:szCs w:val="22"/>
        </w:rPr>
        <w:t>:</w:t>
      </w:r>
    </w:p>
    <w:p w:rsidR="00CF6EC0" w:rsidRPr="005B4554" w:rsidRDefault="00CF6EC0" w:rsidP="005B4554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 pierwszej lekcji przedstawiamy zasady przedmiotowego oceniania i tłumaczymy wszelkie wątpliwości</w:t>
      </w:r>
    </w:p>
    <w:p w:rsidR="00CF6EC0" w:rsidRDefault="00CF6EC0" w:rsidP="00CF6EC0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Przedmiotowy system oceniania przekazujemy do wiadomości wychowawcy, dyrekcji i rodziców (powinien być on dostępny na obowiązującej w szkole platformie cyfrowej)</w:t>
      </w:r>
    </w:p>
    <w:p w:rsidR="00CF6EC0" w:rsidRDefault="00CF6EC0" w:rsidP="00CF6EC0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Uczniowie muszą być poinformowani o możliwości uzupełniania zaległości wynikających z nieobecności w szkole lub brakach pojawiających się na bieżąco</w:t>
      </w:r>
    </w:p>
    <w:p w:rsidR="00CF6EC0" w:rsidRPr="005B4554" w:rsidRDefault="00CF6EC0" w:rsidP="005B4554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Wszystkie wystawione oceny są umieszczane na obowiązującej w szkole platformie cyfrowej możliwie jak najszybciej  </w:t>
      </w:r>
    </w:p>
    <w:p w:rsidR="00CF6EC0" w:rsidRDefault="00CF6EC0" w:rsidP="00CF6EC0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Szczegółowe wymagania edukacyjne na poszczególne oceny:</w:t>
      </w:r>
    </w:p>
    <w:tbl>
      <w:tblPr>
        <w:tblStyle w:val="Tabela-Siatka"/>
        <w:tblpPr w:leftFromText="141" w:rightFromText="141" w:vertAnchor="text" w:tblpX="-318" w:tblpY="1"/>
        <w:tblOverlap w:val="never"/>
        <w:tblW w:w="15417" w:type="dxa"/>
        <w:tblInd w:w="0" w:type="dxa"/>
        <w:tblLayout w:type="fixed"/>
        <w:tblLook w:val="04A0"/>
      </w:tblPr>
      <w:tblGrid>
        <w:gridCol w:w="1276"/>
        <w:gridCol w:w="2121"/>
        <w:gridCol w:w="3090"/>
        <w:gridCol w:w="3260"/>
        <w:gridCol w:w="2977"/>
        <w:gridCol w:w="2693"/>
      </w:tblGrid>
      <w:tr w:rsidR="00CF6EC0" w:rsidTr="00CF6EC0">
        <w:trPr>
          <w:trHeight w:val="586"/>
        </w:trPr>
        <w:tc>
          <w:tcPr>
            <w:tcW w:w="154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I semestr</w:t>
            </w:r>
          </w:p>
        </w:tc>
      </w:tr>
      <w:tr w:rsidR="00CF6EC0" w:rsidTr="00CF6EC0">
        <w:trPr>
          <w:trHeight w:val="586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Rozdział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celujący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bardzo dobry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dobry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dostateczny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6EC0" w:rsidRDefault="00CF6EC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dopuszczający</w:t>
            </w:r>
          </w:p>
        </w:tc>
      </w:tr>
      <w:tr w:rsidR="00CF6EC0" w:rsidTr="00CF6EC0">
        <w:trPr>
          <w:trHeight w:val="385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tabs>
                <w:tab w:val="left" w:pos="183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I. Powołanie do miłości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źródła autentycznego i trwałego szczęścia człowieka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szczegółowo wyjaśnia związek miłości ze świętością w każdej formie życia człowieka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znaczenie nowego przykazania miłości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wyczerpująco omawia rodzaje miłości,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rodzaje powołań </w:t>
            </w:r>
          </w:p>
          <w:p w:rsidR="00CF6EC0" w:rsidRDefault="00CF6EC0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przedstawia ogólnie przesłanie Apokalipsy Świętego Jana,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argumentuje, że każda prawdziwa miłość ma źródło w Bogu;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 związek miłości ze świętością w  różnych formach życia (małżeństwo, kapłaństwo, życie zakonne, życie konsekrowane, powołanie misyjne, człowiek samotny w służbie bliźnim)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objaśnia, co znaczy, że przykazanie miłości to przykazanie powszechne;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objaśnia różnicę między przykazaniem miłości a nowym przykazaniem miłości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czym jest cnota miłości;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omawia, na czym polega uczestnictwo w  życiu różnych wspólnot Kościoła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charakteryzuje najważniejsze wspólnoty w życiu człowieka;</w:t>
            </w:r>
          </w:p>
          <w:p w:rsidR="00CF6EC0" w:rsidRDefault="00CF6EC0">
            <w:pPr>
              <w:tabs>
                <w:tab w:val="left" w:pos="315"/>
              </w:tabs>
              <w:autoSpaceDE w:val="0"/>
              <w:autoSpaceDN w:val="0"/>
              <w:adjustRightInd w:val="0"/>
              <w:spacing w:after="200" w:line="276" w:lineRule="auto"/>
              <w:ind w:left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przedstawia prawdę o dobroci stworzonego świata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tłumaczy, że powołanie do świętości to powołanie do miłości;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odcienie miłości (siebie samego, bliźniego, małżeńskiej, ojczyzny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czym jest przykazanie miłości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sposoby przeżywania miłości i podaje jej „rodzaje”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formy życia w  Kościele: małżeństwo, kapłaństwo, życie zakonne, życie konsekrowane, powołanie misyjne, człowiek samotny w służbie bliźnim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przedstawia, na czym polega uczestnictwo w życiu różnych wspólnot Kościoła, narodu, rodziny, grupy szkolnej i koleżeńskiej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omawia prawdę o zmartwychwstaniu umarłych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 konieczność przygotowania się do realizacji powołania do miłości w codziennym życiu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jak realizować  na co dzień przykazanie miłości Boga i bliźniego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czym jest miłość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sposoby wpływania na swój rozwój emocjonalny i społeczny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na czym polega relacja z Bogiem;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 xml:space="preserve">rozróżnia formy życia w Kościele,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wskazuje sposoby odkrywania powołania w świetle Bożego wezwania,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sposoby rozwijania talentów i zdolności</w:t>
            </w:r>
          </w:p>
          <w:p w:rsidR="00CF6EC0" w:rsidRDefault="00CF6EC0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wyjaśnia prawdę o zmartwychwstaniu umarłych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omawia, że Bóg jest źródłem miłości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zna pojęcie miłości agape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argumentuje, że życie trzeba budować na niezmiennych wartościach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zna nowe przykazanie miłości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wyjaśnia potrzebę wpływania na rozwój emocjonalny i społeczny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układa modlitwę w intencji powołań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wymienia najważniejsze wspólnoty człowieka,</w:t>
            </w:r>
          </w:p>
          <w:p w:rsidR="00CF6EC0" w:rsidRDefault="00CF6EC0">
            <w:pPr>
              <w:tabs>
                <w:tab w:val="left" w:pos="315"/>
              </w:tabs>
              <w:autoSpaceDE w:val="0"/>
              <w:autoSpaceDN w:val="0"/>
              <w:adjustRightInd w:val="0"/>
              <w:spacing w:after="200" w:line="276" w:lineRule="auto"/>
              <w:ind w:left="5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</w:p>
        </w:tc>
      </w:tr>
      <w:tr w:rsidR="00CF6EC0" w:rsidTr="00CF6EC0">
        <w:trPr>
          <w:trHeight w:val="283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II. Sens życia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szczegółowo omawia charakter Apokalipsy i jej przesłanie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senszarówno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pozytywnych jak i negatywnych doświadczeń życiowych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argumentuje, dlaczego opisy w Apokalipsie mają charakter symboliczny;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charakteryzuje, jakie obrazy Boga może nosić w sobie człowiek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podaje argumenty za tym, że niebo jest krainą wiecznej szczęśliwości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że zaprzeczeniem szczęścia w niebie jest możliwość istnienia piekła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omawia, dlaczego że wiara nadaje sens życiu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objaśnia symbolikę nowego i starego świata,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 znaczenie słowa „paruzja”,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skojarzenia związane z życiem wiecznym,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opowiada o Nicku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Vujicicu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wyjaśnia, że Apokalipsa nie jest księgą, której trzeba się bać;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opisuje, co się wydarzy, kiedy człowiek stanie w całej prawdzie o sobie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argumentuje, jak mało znaczy człowiek wobec ogromu wszechświata, a zarazem jaki jest ważny w oczach Pana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mówi, za co czuje wdzięczność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5"/>
              </w:numPr>
              <w:tabs>
                <w:tab w:val="left" w:pos="40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wskazuje rodzaje modlitwy za zmarłych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docenia Bożą obecność w swoim życiu i wie, że Pan prowadzi go w każdej życiowej próbie</w:t>
            </w:r>
          </w:p>
          <w:p w:rsidR="00CF6EC0" w:rsidRDefault="00CF6EC0" w:rsidP="00442266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rozróżnia między możliwością znalezienia się w niebie i w piekle po zakończeniu ziemskiego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zycia</w:t>
            </w:r>
            <w:proofErr w:type="spellEnd"/>
          </w:p>
          <w:p w:rsidR="00CF6EC0" w:rsidRDefault="00CF6EC0" w:rsidP="00442266">
            <w:pPr>
              <w:numPr>
                <w:ilvl w:val="0"/>
                <w:numId w:val="5"/>
              </w:numPr>
              <w:tabs>
                <w:tab w:val="left" w:pos="234"/>
                <w:tab w:val="left" w:pos="400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zna modlitwę za zmarłych</w:t>
            </w:r>
          </w:p>
        </w:tc>
      </w:tr>
      <w:tr w:rsidR="00CF6EC0" w:rsidTr="00CF6EC0">
        <w:trPr>
          <w:trHeight w:val="1701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tabs>
                <w:tab w:val="left" w:pos="176"/>
              </w:tabs>
              <w:autoSpaceDE w:val="0"/>
              <w:autoSpaceDN w:val="0"/>
              <w:adjustRightInd w:val="0"/>
              <w:spacing w:after="200" w:line="276" w:lineRule="auto"/>
              <w:ind w:left="142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Rok liturgiczny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6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charakteryzuje poszczególne okresy roku liturgicznego w kontekście wydarzeń zbawczych i nauczania Kościoła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6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ukazuje związek wydarzeń biblijnych z rokiem liturgicznym oraz życiem chrześcijanina,</w:t>
            </w:r>
          </w:p>
          <w:p w:rsidR="00CF6EC0" w:rsidRDefault="00CF6EC0">
            <w:pPr>
              <w:pStyle w:val="Akapitzlist"/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6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zestawia wydarzenia biblijne ze zwyczajami religijnymi;</w:t>
            </w:r>
          </w:p>
          <w:p w:rsidR="00CF6EC0" w:rsidRDefault="00CF6EC0">
            <w:pPr>
              <w:pStyle w:val="Akapitzlist"/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6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i opisuje uroczystości i święta Pańskie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6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wskazuje na konieczność włączenia się w  obchody roku liturgicznego</w:t>
            </w:r>
          </w:p>
          <w:p w:rsidR="00CF6EC0" w:rsidRDefault="00CF6EC0">
            <w:pPr>
              <w:pStyle w:val="Akapitzlist"/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6"/>
              </w:numPr>
              <w:tabs>
                <w:tab w:val="left" w:pos="288"/>
                <w:tab w:val="left" w:pos="316"/>
              </w:tabs>
              <w:autoSpaceDE w:val="0"/>
              <w:autoSpaceDN w:val="0"/>
              <w:adjustRightInd w:val="0"/>
              <w:ind w:left="34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ukazuje związek wydarzeń biblijnych ze świętami chrześcijańskimi, prawdami wiary i moralności chrześcijańskiej oraz z życiem chrześcijanina</w:t>
            </w:r>
          </w:p>
        </w:tc>
      </w:tr>
      <w:tr w:rsidR="00CF6EC0" w:rsidTr="00CF6EC0">
        <w:trPr>
          <w:trHeight w:val="396"/>
        </w:trPr>
        <w:tc>
          <w:tcPr>
            <w:tcW w:w="154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F6EC0" w:rsidRDefault="00CF6EC0">
            <w:pPr>
              <w:tabs>
                <w:tab w:val="left" w:pos="31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18"/>
                <w:lang w:eastAsia="en-US"/>
              </w:rPr>
              <w:t>II semestr</w:t>
            </w:r>
          </w:p>
        </w:tc>
      </w:tr>
      <w:tr w:rsidR="00CF6EC0" w:rsidTr="00CF6EC0">
        <w:trPr>
          <w:trHeight w:val="283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b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IV. Bierzmowanie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uzasadnia potrzebę przyjęcia sakramentu bierzmowania wskazując na jego skutki i działanie Ducha Świętego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co to znaczy, że bierzmowanie jest dopełnieniem chrztu świętego,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skutki i konsekwencje egzystencjalne bierzmowania,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czym są charyzmaty Ducha Świętego w Kościele</w:t>
            </w:r>
          </w:p>
          <w:p w:rsidR="00CF6EC0" w:rsidRDefault="00CF6EC0">
            <w:pPr>
              <w:tabs>
                <w:tab w:val="left" w:pos="315"/>
              </w:tabs>
              <w:spacing w:after="200" w:line="276" w:lineRule="auto"/>
              <w:ind w:left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 pojęcie bierzmowania jako sakramentu dojrzałości chrześcijańskiej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i omawia dary Ducha Świętego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wymienia, opisuje i wyjaśnia obrzędy bierzmowania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owoce działania Ducha Świętego w  życiu chrześcijanina i podaje przykłady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objaśnia znaczenie sakramentu bierzmowania dla życie chrześcijańskiego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podaje przykłady charyzmatów </w:t>
            </w:r>
          </w:p>
          <w:p w:rsidR="00CF6EC0" w:rsidRDefault="00CF6EC0">
            <w:pPr>
              <w:tabs>
                <w:tab w:val="left" w:pos="315"/>
              </w:tabs>
              <w:autoSpaceDE w:val="0"/>
              <w:autoSpaceDN w:val="0"/>
              <w:adjustRightInd w:val="0"/>
              <w:spacing w:after="200" w:line="276" w:lineRule="auto"/>
              <w:ind w:left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działania Cucha Świętego w życiu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4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zna podział charyzmatów na zwyczajne i nadzwyczajne </w:t>
            </w:r>
          </w:p>
          <w:p w:rsidR="00CF6EC0" w:rsidRDefault="00CF6EC0">
            <w:pPr>
              <w:tabs>
                <w:tab w:val="left" w:pos="315"/>
              </w:tabs>
              <w:spacing w:after="200" w:line="276" w:lineRule="auto"/>
              <w:ind w:left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F6EC0" w:rsidTr="00CF6EC0">
        <w:trPr>
          <w:trHeight w:val="1266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V Osiem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błogosła-wieństw</w:t>
            </w:r>
            <w:proofErr w:type="spellEnd"/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uzasadnia, że kroczenie drogą błogosławieństw prowadzi do szczęścia i zbawienia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przedstawia nauczanie Jezusa zawarte w Kazaniu na górze,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objaśnia znaczenie ośmiu błogosławieństw w drodze do zbawienia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chrześcijańskie rozumienie szczęścia na przykładzie historii Heleny Kmieć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osiem błogosławieństw</w:t>
            </w:r>
          </w:p>
          <w:p w:rsidR="00CF6EC0" w:rsidRDefault="00CF6EC0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większość z ośmiu błogosławieństw</w:t>
            </w:r>
          </w:p>
          <w:p w:rsidR="00CF6EC0" w:rsidRDefault="00CF6EC0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F6EC0" w:rsidTr="00CF6EC0">
        <w:trPr>
          <w:trHeight w:val="3402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lang w:eastAsia="en-US"/>
              </w:rPr>
              <w:lastRenderedPageBreak/>
              <w:t>VI Bóg nas posyła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uzasadnia wpływ autentycznego świadectwa na szerzenie Ewangelii;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angażuje się w  akcje pomocy potrzebującym, odpowiedzialnie uczestniczy w różnych formach wolontariatu,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wyczerpująco uzasadnia, że jego zaangażowanie ma wpływ na przyszłość Kościoła i społeczeństwa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przejawia postawę misyjną i modli się za Kościół i misjonarzy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wpływ świadectwa Samarytanki na mieszkańców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Sychar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.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bezinteresownej troski o ludzi w potrzebie,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definiuje odpowiedzialność społeczną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 oparciu o teksty biblijne i nauczanie Kościoła opisuje jego misyjną działalność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analizuje źródła trudności w pracy misyjnej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wyjaśnia, na czym polega świadectwo wiary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definiuje apostolstwo świeckich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charakteryzuje życie pierwszych wspólnot chrześcijańskich oraz ich działalność apostolską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definiuje, na czym polega wolontariat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bezinteresownej troski o ludzi w potrzebie,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na czym polega misyjna natura Kościoła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przykłady działalności misyjnej duchownych i  osób świeckich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 konieczność dawania świadectwa wiary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możliwości apostolstwa w Kościele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ludzi i wspólnot zaangażowanych w apostolstwo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uzasadnia wartość angażowania się w wolontariat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tłumaczy potrzebę kierowania się w życiu cnotami społecznymi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działalności misjonarzy w różnych rejonach świata,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współczesnych męczenników na misjach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przykłady świadków wiary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omawia, że święci są dla nas drogowskazem w drodze do zbawienia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zaangażowania w wolontariat szkolny;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ludzi zaangażowanych w  działania apostolskie w dzisiejszym społeczeństwie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wymieniaŚwiętą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Tereskę jako tą, która modliła się i ofiarowywała cierpienia w intencji misji</w:t>
            </w:r>
          </w:p>
        </w:tc>
      </w:tr>
      <w:tr w:rsidR="00CF6EC0" w:rsidTr="00CF6EC0">
        <w:trPr>
          <w:trHeight w:val="453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lang w:eastAsia="en-US"/>
              </w:rPr>
              <w:t>VII Świadkowie Ewangelii w historii Polski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tłumaczy, dlaczego Kościół walczy o pokój w każdym konflikcie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wyczerpująco argumentuje konieczność wyrzeczeń w  imię zachowania wartości chrześcijańskich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tłumaczy, że w każdych warunkach można być świadkiem Chrystusa;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skutecznie szuka okazji do wypełniania przykazania miłości we własnym środowisku.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argumentuje, że wojna nie jest czasem zawieszenia prawa Bożego w sumieniu,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argumentuje, że prawo miłości Boga i bliźniego jest zobowiązaniem dla chrześcijanina niezależnie od okoliczności, w jakich przyszło mu żyć,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określa, co powoduje odejście ludzi od wiary i Kościoła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cele, którymi kierowała się Matka Teresa w swej działalności,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opowiada, jaki był sens pracy Matki Teresy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wskazuje na wydarzenia i zjawiska religijne, które wpłynęły na budowanie tożsamości narodowej Polaków w XX wieku,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na czym polega fenomen działalności ks. Blachnickiego jako duszpasterza,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opisuje charakter działalności Kościoła w czasie II wojny światowej;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opowiada historię Świętego Maksymiliana Kolbego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opowiada o kardynale Stefanie Wyszyńskim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opowiada, jaki był sens jej pracy Świętej Matki Teresy;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cele, którymi kierowała się Matka Teresa w swej działalności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zaproponowaną przez ks. Blachnickiego formę duszpasterstwa;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kim w Kościele jest człowiek świecki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opisuje sposoby, dzięki którym można unikać konfliktów międzyludzkich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opowiada historię wybranych błogosławionych i męczenników II wojny światowej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wymienia duchownych i świeckich, którzy pozostali wierni w trudnych czasach stalinowskich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wiada o działalności Matki Teresy.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opowiada o  życiu i roli ks. Blachnickiego w Ruchu Światło-Życie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wskazuje na konieczność zaangażowania świeckich w życie Kościoła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potrafi zapobiegać nawet drobnym konfliktom międzyludzkim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niektórych męczenników II wojny światowej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objaśnia potrzebę niesienia pomocy ludziom ubogim i chorym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formułuje modlitwę wdzięczności za świadków wiary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uzasadnia aktualność myśli Sługi Bożego Franciszka Blachnickiego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ind w:left="0" w:firstLine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opisuje różnorodność powołania do świętości na przykładzie poznanych świętych świeckich</w:t>
            </w:r>
          </w:p>
        </w:tc>
      </w:tr>
      <w:tr w:rsidR="00CF6EC0" w:rsidTr="00CF6EC0">
        <w:trPr>
          <w:trHeight w:val="283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>
            <w:pPr>
              <w:tabs>
                <w:tab w:val="left" w:pos="273"/>
              </w:tabs>
              <w:autoSpaceDE w:val="0"/>
              <w:autoSpaceDN w:val="0"/>
              <w:adjustRightInd w:val="0"/>
              <w:spacing w:after="200" w:line="276" w:lineRule="auto"/>
              <w:ind w:left="34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Rok liturgiczny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wydarzenia wynikające z roku liturgicznego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1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ukazuje związek wydarzeń biblijnych z  rokiem liturgicznym, prawdami wiary i moralności chrześcijańskiej oraz życiem chrześcijanina</w:t>
            </w:r>
          </w:p>
          <w:p w:rsidR="00CF6EC0" w:rsidRDefault="00CF6EC0">
            <w:pPr>
              <w:tabs>
                <w:tab w:val="left" w:pos="281"/>
              </w:tabs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omawia różne postawy przy szukaniu prawdy,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omawia, jakie przymierza zawierał z człowiekiem Bóg;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 możliwość korzystania z łask, które daje Święto Miłosierdzia Bożego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charakteryzuje potęgę działania Ducha Świętego i opisuje rozmach, z jakim On przybywa.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wyjaśnia, że uroczystość Objawienia Pańskiego to zaproszenie do podjęcia osobistego trudu poszukiwania Jezusa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opisuje symbolikę biblijną i ją odczytuje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opowiada historię życia Świętej Faustyny Kowalskiej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uzasadnia religijny wymiar uroczystości Zesłania Ducha Świętego.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tłumaczy, jak zachować czujność przy pozyskiwaniu informacji.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wymienia wszystkie uczynki miłosierdzia względem ducha i ciała. 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wszystkie owoce i dary Ducha Świętego.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podaje przykłady mocy Ducha Świętego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przytacza historię mędrców poszukujących Jezusa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niektóre uczynki miłosierdzia względem ducha i ciała</w:t>
            </w:r>
          </w:p>
          <w:p w:rsidR="00CF6EC0" w:rsidRDefault="00CF6EC0" w:rsidP="0044226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ind w:left="5" w:hanging="5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wymienia niektóre owoce i dary Ducha Świętego.</w:t>
            </w:r>
          </w:p>
        </w:tc>
      </w:tr>
    </w:tbl>
    <w:p w:rsidR="00CF6EC0" w:rsidRDefault="00CF6EC0" w:rsidP="00CF6EC0">
      <w:pPr>
        <w:pStyle w:val="Podtytu"/>
        <w:ind w:left="0"/>
        <w:contextualSpacing/>
        <w:jc w:val="both"/>
        <w:rPr>
          <w:b w:val="0"/>
          <w:szCs w:val="22"/>
        </w:rPr>
      </w:pPr>
    </w:p>
    <w:p w:rsidR="002D759C" w:rsidRDefault="005A240D"/>
    <w:sectPr w:rsidR="002D759C" w:rsidSect="00CF6E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11A41"/>
    <w:multiLevelType w:val="hybridMultilevel"/>
    <w:tmpl w:val="C54A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0225EC"/>
    <w:multiLevelType w:val="hybridMultilevel"/>
    <w:tmpl w:val="2AFA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E03033"/>
    <w:multiLevelType w:val="hybridMultilevel"/>
    <w:tmpl w:val="12163B42"/>
    <w:lvl w:ilvl="0" w:tplc="226CED24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F6EC0"/>
    <w:rsid w:val="003A6681"/>
    <w:rsid w:val="003C4C7E"/>
    <w:rsid w:val="004D40EC"/>
    <w:rsid w:val="00581EC0"/>
    <w:rsid w:val="005A240D"/>
    <w:rsid w:val="005B4554"/>
    <w:rsid w:val="00CF6EC0"/>
    <w:rsid w:val="00DA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6EC0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CF6EC0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CF6EC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F6EC0"/>
    <w:pPr>
      <w:ind w:left="720"/>
      <w:contextualSpacing/>
    </w:pPr>
  </w:style>
  <w:style w:type="table" w:styleId="Tabela-Siatka">
    <w:name w:val="Table Grid"/>
    <w:basedOn w:val="Standardowy"/>
    <w:uiPriority w:val="59"/>
    <w:rsid w:val="00CF6E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0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2106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2026-09-01T18:08:00Z</cp:lastPrinted>
  <dcterms:created xsi:type="dcterms:W3CDTF">2026-09-01T17:58:00Z</dcterms:created>
  <dcterms:modified xsi:type="dcterms:W3CDTF">2026-09-01T18:09:00Z</dcterms:modified>
</cp:coreProperties>
</file>