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965617">
      <w:pPr>
        <w:spacing w:after="0" w:line="240" w:lineRule="auto"/>
        <w:jc w:val="center"/>
        <w:rPr>
          <w:lang w:val="pl-PL"/>
        </w:rPr>
      </w:pPr>
      <w:r>
        <w:rPr>
          <w:b/>
          <w:color w:val="1F4E79"/>
          <w:sz w:val="58"/>
          <w:lang w:val="pl-PL"/>
        </w:rPr>
        <w:t>WYMAGANIA EDUKACYJNE</w:t>
      </w:r>
    </w:p>
    <w:p w14:paraId="7B717E6D">
      <w:pPr>
        <w:spacing w:after="0" w:line="240" w:lineRule="auto"/>
        <w:jc w:val="center"/>
        <w:rPr>
          <w:lang w:val="pl-PL"/>
        </w:rPr>
      </w:pPr>
      <w:r>
        <w:rPr>
          <w:rFonts w:hint="default"/>
          <w:b/>
          <w:color w:val="1F4E79"/>
          <w:sz w:val="42"/>
          <w:lang w:val="pl-PL"/>
        </w:rPr>
        <w:t xml:space="preserve">Informatyka </w:t>
      </w:r>
      <w:r>
        <w:rPr>
          <w:b/>
          <w:color w:val="1F4E79"/>
          <w:sz w:val="42"/>
          <w:lang w:val="pl-PL"/>
        </w:rPr>
        <w:t xml:space="preserve">– klasa </w:t>
      </w:r>
      <w:r>
        <w:rPr>
          <w:rFonts w:hint="default"/>
          <w:b/>
          <w:color w:val="1F4E79"/>
          <w:sz w:val="42"/>
          <w:lang w:val="pl-PL"/>
        </w:rPr>
        <w:t>VI</w:t>
      </w:r>
      <w:r>
        <w:rPr>
          <w:b/>
          <w:color w:val="1F4E79"/>
          <w:sz w:val="42"/>
          <w:lang w:val="pl-PL"/>
        </w:rPr>
        <w:t xml:space="preserve"> szkoły podstawowej</w:t>
      </w:r>
    </w:p>
    <w:p w14:paraId="4C0C2624">
      <w:pPr>
        <w:spacing w:after="0" w:line="240" w:lineRule="auto"/>
        <w:jc w:val="center"/>
        <w:rPr>
          <w:b/>
          <w:color w:val="262626"/>
          <w:sz w:val="30"/>
          <w:lang w:val="pl-PL"/>
        </w:rPr>
      </w:pPr>
      <w:r>
        <w:rPr>
          <w:b/>
          <w:color w:val="262626"/>
          <w:sz w:val="30"/>
          <w:lang w:val="pl-PL"/>
        </w:rPr>
        <w:t>rok szkolny 2026/2027</w:t>
      </w:r>
    </w:p>
    <w:p w14:paraId="628ECB54">
      <w:pPr>
        <w:spacing w:after="120" w:line="240" w:lineRule="auto"/>
        <w:jc w:val="center"/>
        <w:rPr>
          <w:b/>
          <w:color w:val="262626"/>
          <w:sz w:val="30"/>
          <w:lang w:val="pl-PL"/>
        </w:rPr>
      </w:pPr>
    </w:p>
    <w:p w14:paraId="6BAA45F6">
      <w:pPr>
        <w:spacing w:after="120" w:line="240" w:lineRule="auto"/>
        <w:jc w:val="center"/>
        <w:rPr>
          <w:b/>
          <w:color w:val="262626"/>
          <w:sz w:val="30"/>
          <w:lang w:val="pl-PL"/>
        </w:rPr>
      </w:pPr>
    </w:p>
    <w:p w14:paraId="56CE0E16">
      <w:pPr>
        <w:spacing w:after="120" w:line="240" w:lineRule="auto"/>
        <w:jc w:val="center"/>
        <w:rPr>
          <w:b/>
          <w:color w:val="262626"/>
          <w:sz w:val="30"/>
          <w:lang w:val="pl-PL"/>
        </w:rPr>
      </w:pPr>
    </w:p>
    <w:p w14:paraId="7AB4C390">
      <w:pPr>
        <w:spacing w:after="120" w:line="240" w:lineRule="auto"/>
        <w:jc w:val="center"/>
        <w:rPr>
          <w:b/>
          <w:color w:val="262626"/>
          <w:sz w:val="30"/>
          <w:lang w:val="pl-PL"/>
        </w:rPr>
      </w:pPr>
    </w:p>
    <w:p w14:paraId="627BDE0D">
      <w:pPr>
        <w:spacing w:after="120" w:line="240" w:lineRule="auto"/>
        <w:jc w:val="center"/>
        <w:rPr>
          <w:b/>
          <w:color w:val="262626"/>
          <w:sz w:val="30"/>
          <w:lang w:val="pl-PL"/>
        </w:rPr>
      </w:pPr>
    </w:p>
    <w:tbl>
      <w:tblPr>
        <w:tblStyle w:val="5"/>
        <w:tblW w:w="4998" w:type="pct"/>
        <w:jc w:val="center"/>
        <w:tblBorders>
          <w:top w:val="single" w:color="888888" w:sz="4" w:space="0"/>
          <w:left w:val="single" w:color="888888" w:sz="4" w:space="0"/>
          <w:bottom w:val="single" w:color="888888" w:sz="4" w:space="0"/>
          <w:right w:val="single" w:color="888888" w:sz="4" w:space="0"/>
          <w:insideH w:val="single" w:color="888888" w:sz="4" w:space="0"/>
          <w:insideV w:val="single" w:color="888888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84"/>
        <w:gridCol w:w="10238"/>
      </w:tblGrid>
      <w:tr w14:paraId="02B7EDFF">
        <w:tblPrEx>
          <w:tblBorders>
            <w:top w:val="single" w:color="888888" w:sz="4" w:space="0"/>
            <w:left w:val="single" w:color="888888" w:sz="4" w:space="0"/>
            <w:bottom w:val="single" w:color="888888" w:sz="4" w:space="0"/>
            <w:right w:val="single" w:color="888888" w:sz="4" w:space="0"/>
            <w:insideH w:val="single" w:color="888888" w:sz="4" w:space="0"/>
            <w:insideV w:val="single" w:color="88888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75" w:type="pct"/>
            <w:tcBorders>
              <w:top w:val="single" w:color="7F8C98" w:sz="4" w:space="0"/>
              <w:left w:val="single" w:color="7F8C98" w:sz="4" w:space="0"/>
              <w:bottom w:val="single" w:color="7F8C98" w:sz="4" w:space="0"/>
              <w:right w:val="single" w:color="7F8C98" w:sz="4" w:space="0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F2AD784">
            <w:pPr>
              <w:spacing w:after="0" w:line="240" w:lineRule="auto"/>
              <w:rPr>
                <w:lang w:val="pl-PL"/>
              </w:rPr>
            </w:pPr>
            <w:r>
              <w:rPr>
                <w:b/>
                <w:color w:val="1F4E85"/>
                <w:sz w:val="21"/>
                <w:lang w:val="pl-PL"/>
              </w:rPr>
              <w:t>Szkoła</w:t>
            </w:r>
          </w:p>
        </w:tc>
        <w:tc>
          <w:tcPr>
            <w:tcW w:w="3624" w:type="pct"/>
            <w:tcBorders>
              <w:top w:val="single" w:color="7F8C98" w:sz="4" w:space="0"/>
              <w:left w:val="single" w:color="7F8C98" w:sz="4" w:space="0"/>
              <w:bottom w:val="single" w:color="7F8C98" w:sz="4" w:space="0"/>
              <w:right w:val="single" w:color="7F8C98" w:sz="4" w:space="0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8A5AB65">
            <w:pPr>
              <w:spacing w:after="0" w:line="240" w:lineRule="auto"/>
              <w:rPr>
                <w:rFonts w:hint="default"/>
                <w:lang w:val="pl-PL"/>
              </w:rPr>
            </w:pPr>
            <w:r>
              <w:rPr>
                <w:rFonts w:hint="default"/>
                <w:lang w:val="pl-PL"/>
              </w:rPr>
              <w:t>Podstawowa Nr 2 z Oddziałami Integracyjnymi w Środzie Wielkopolskiej</w:t>
            </w:r>
          </w:p>
        </w:tc>
      </w:tr>
      <w:tr w14:paraId="3347CC75">
        <w:tblPrEx>
          <w:tblBorders>
            <w:top w:val="single" w:color="888888" w:sz="4" w:space="0"/>
            <w:left w:val="single" w:color="888888" w:sz="4" w:space="0"/>
            <w:bottom w:val="single" w:color="888888" w:sz="4" w:space="0"/>
            <w:right w:val="single" w:color="888888" w:sz="4" w:space="0"/>
            <w:insideH w:val="single" w:color="888888" w:sz="4" w:space="0"/>
            <w:insideV w:val="single" w:color="88888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75" w:type="pct"/>
            <w:tcBorders>
              <w:top w:val="single" w:color="7F8C98" w:sz="4" w:space="0"/>
              <w:left w:val="single" w:color="7F8C98" w:sz="4" w:space="0"/>
              <w:bottom w:val="single" w:color="7F8C98" w:sz="4" w:space="0"/>
              <w:right w:val="single" w:color="7F8C98" w:sz="4" w:space="0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A42D9AE">
            <w:pPr>
              <w:spacing w:after="0" w:line="240" w:lineRule="auto"/>
              <w:rPr>
                <w:lang w:val="pl-PL"/>
              </w:rPr>
            </w:pPr>
            <w:r>
              <w:rPr>
                <w:b/>
                <w:color w:val="1F4E85"/>
                <w:sz w:val="21"/>
                <w:lang w:val="pl-PL"/>
              </w:rPr>
              <w:t>Nauczyciel</w:t>
            </w:r>
          </w:p>
        </w:tc>
        <w:tc>
          <w:tcPr>
            <w:tcW w:w="3624" w:type="pct"/>
            <w:tcBorders>
              <w:top w:val="single" w:color="7F8C98" w:sz="4" w:space="0"/>
              <w:left w:val="single" w:color="7F8C98" w:sz="4" w:space="0"/>
              <w:bottom w:val="single" w:color="7F8C98" w:sz="4" w:space="0"/>
              <w:right w:val="single" w:color="7F8C98" w:sz="4" w:space="0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A8BD560">
            <w:pPr>
              <w:spacing w:after="0" w:line="240" w:lineRule="auto"/>
              <w:rPr>
                <w:rFonts w:hint="default"/>
                <w:lang w:val="pl-PL"/>
              </w:rPr>
            </w:pPr>
            <w:r>
              <w:rPr>
                <w:rFonts w:hint="default"/>
                <w:lang w:val="pl-PL"/>
              </w:rPr>
              <w:t>Anita Proksa,  Jakub Kamiński, Agnieszka Przybył, Joanna Majcher, Zofia Ratajczak, Agnieszka Kaczor, Beata Senftleben</w:t>
            </w:r>
          </w:p>
        </w:tc>
      </w:tr>
      <w:tr w14:paraId="71A599F8">
        <w:tblPrEx>
          <w:tblBorders>
            <w:top w:val="single" w:color="888888" w:sz="4" w:space="0"/>
            <w:left w:val="single" w:color="888888" w:sz="4" w:space="0"/>
            <w:bottom w:val="single" w:color="888888" w:sz="4" w:space="0"/>
            <w:right w:val="single" w:color="888888" w:sz="4" w:space="0"/>
            <w:insideH w:val="single" w:color="888888" w:sz="4" w:space="0"/>
            <w:insideV w:val="single" w:color="88888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75" w:type="pct"/>
            <w:tcBorders>
              <w:top w:val="single" w:color="7F8C98" w:sz="4" w:space="0"/>
              <w:left w:val="single" w:color="7F8C98" w:sz="4" w:space="0"/>
              <w:bottom w:val="single" w:color="7F8C98" w:sz="4" w:space="0"/>
              <w:right w:val="single" w:color="7F8C98" w:sz="4" w:space="0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1549075">
            <w:pPr>
              <w:spacing w:after="0" w:line="240" w:lineRule="auto"/>
              <w:rPr>
                <w:lang w:val="pl-PL"/>
              </w:rPr>
            </w:pPr>
            <w:r>
              <w:rPr>
                <w:b/>
                <w:color w:val="1F4E85"/>
                <w:sz w:val="21"/>
                <w:lang w:val="pl-PL"/>
              </w:rPr>
              <w:t>Data przyjęcia / aktualizacji</w:t>
            </w:r>
          </w:p>
        </w:tc>
        <w:tc>
          <w:tcPr>
            <w:tcW w:w="3624" w:type="pct"/>
            <w:tcBorders>
              <w:top w:val="single" w:color="7F8C98" w:sz="4" w:space="0"/>
              <w:left w:val="single" w:color="7F8C98" w:sz="4" w:space="0"/>
              <w:bottom w:val="single" w:color="7F8C98" w:sz="4" w:space="0"/>
              <w:right w:val="single" w:color="7F8C98" w:sz="4" w:space="0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04B0090">
            <w:pPr>
              <w:spacing w:after="0" w:line="240" w:lineRule="auto"/>
              <w:rPr>
                <w:rFonts w:hint="default"/>
                <w:lang w:val="pl-PL"/>
              </w:rPr>
            </w:pPr>
            <w:r>
              <w:rPr>
                <w:rFonts w:hint="default"/>
                <w:lang w:val="pl-PL"/>
              </w:rPr>
              <w:t>1.09.2026</w:t>
            </w:r>
          </w:p>
        </w:tc>
      </w:tr>
    </w:tbl>
    <w:p w14:paraId="4A33F750">
      <w:pPr>
        <w:spacing w:after="0" w:line="204" w:lineRule="auto"/>
        <w:rPr>
          <w:lang w:val="pl-PL"/>
        </w:rPr>
      </w:pPr>
      <w:r>
        <w:rPr>
          <w:lang w:val="pl-PL"/>
        </w:rPr>
        <w:br w:type="textWrapping"/>
      </w:r>
    </w:p>
    <w:p w14:paraId="450DC4D0">
      <w:pPr>
        <w:keepNext w:val="0"/>
        <w:keepLines w:val="0"/>
        <w:widowControl/>
        <w:suppressLineNumbers w:val="0"/>
        <w:jc w:val="left"/>
        <w:rPr>
          <w:rFonts w:hint="default"/>
          <w:lang w:val="pl-PL"/>
        </w:rPr>
      </w:pPr>
    </w:p>
    <w:p w14:paraId="03F053A2">
      <w:r>
        <w:br w:type="page"/>
      </w:r>
    </w:p>
    <w:p w14:paraId="245BC9AB">
      <w:pPr>
        <w:keepNext w:val="0"/>
        <w:keepLines w:val="0"/>
        <w:widowControl/>
        <w:suppressLineNumbers w:val="0"/>
        <w:jc w:val="left"/>
      </w:pP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54"/>
        <w:gridCol w:w="2171"/>
        <w:gridCol w:w="2332"/>
        <w:gridCol w:w="2339"/>
        <w:gridCol w:w="2179"/>
        <w:gridCol w:w="2843"/>
      </w:tblGrid>
      <w:tr w14:paraId="44A68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8C6F4C6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Dział / Temat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3F55539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Dopuszczająca (2)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6D30E4A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Dostateczna (3)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A50D8DA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Dobra (4)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0F13B3D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Bardzo dobra (5)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646EE2C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Celująca (6)</w:t>
            </w:r>
          </w:p>
          <w:p w14:paraId="20EFDB00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 </w:t>
            </w:r>
          </w:p>
        </w:tc>
      </w:tr>
      <w:tr w14:paraId="2C0C8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9FD6B05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6.1 Arkusz kalkulacyjny — podstawy obliczeń i wizualizacji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6222F54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[A] rozróżnia wiersz, kolumnę i komórkę arkusza</w:t>
            </w:r>
          </w:p>
          <w:p w14:paraId="77177CFB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wprowadza dane tekstowe i liczbowe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B988BC3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wyjaśnia pojęcie adresu komórki</w:t>
            </w:r>
          </w:p>
          <w:p w14:paraId="3D9C2167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tworzy proste formuły ze znakami +, -, *, /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D9C824D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stosuje funkcje SUMA, ŚREDNIA, MAKS, MIN</w:t>
            </w:r>
          </w:p>
          <w:p w14:paraId="3D8BABA8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tworzy i formatuje wykresy kolumnowe i kołowe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A62E803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stosuje adresowanie względne i bezwzględne ($)</w:t>
            </w:r>
          </w:p>
          <w:p w14:paraId="1DC6D07F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projektuje arkusz do kalkulacji budżetu domowego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85841E0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tworzy zaawansowany arkusz do analizy danych z funkcją JEŻELI i formatowaniem warunkowym</w:t>
            </w:r>
          </w:p>
        </w:tc>
      </w:tr>
      <w:tr w14:paraId="5983C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76D8A95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6.2 Modelowanie i druk 3D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9729EFB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[A] wie, na czym polega druk 3D i modelowanie</w:t>
            </w:r>
          </w:p>
          <w:p w14:paraId="7DA6FFD3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uruchamia edytor 3D (np. Tinkercad)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F004691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opisuje osie współrzędnych X, Y, Z w przestrzeni 3D</w:t>
            </w:r>
          </w:p>
          <w:p w14:paraId="03A22B56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łączy i grupuje podstawowe bryły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F1878CE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stosuje wycinanie otworów i dokładne wymiarowanie</w:t>
            </w:r>
          </w:p>
          <w:p w14:paraId="66E89E36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przygotowuje model do eksportu (format STL)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738A795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projektuje funkcjonalny przedmiot użytkowy (np. brelok, uchwyt)</w:t>
            </w:r>
          </w:p>
          <w:p w14:paraId="1CF504B6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dobiera parametry druku w slicerze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12803A7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tworzy złożony, wieloczęściowy model przestrzenny o precyzyjnych połączeniach mechanicznych</w:t>
            </w:r>
          </w:p>
        </w:tc>
      </w:tr>
      <w:tr w14:paraId="7DC3F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CEFE77B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6.3 Algorytmika i wstęp do języka tekstowego (Python / Baltie)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481C5D9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[A] podaje przykłady języków tekstowych</w:t>
            </w:r>
          </w:p>
          <w:p w14:paraId="40CE0AE8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uruchamia środowisko programistyczne (IDE)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09BBA21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wyjaśnia składnię podstawowych poleceń (np. print, input)</w:t>
            </w:r>
          </w:p>
          <w:p w14:paraId="6FD3D172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pisze prosty program wyświetlający tekst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9F3CDFF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rozróżnia typy danych (int, string, float)</w:t>
            </w:r>
          </w:p>
          <w:p w14:paraId="0CAE1C9D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pisze programy wykonujące obliczenia matematyczne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F581F75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stosuje instrukcje warunkowe (if-else) w kodzie tekstowym</w:t>
            </w:r>
          </w:p>
          <w:p w14:paraId="4EEACAF6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analizuje błędy składniowe i je poprawia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AEDDDF7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tworzy interaktywny program tekstowy (np. kalkulator/gra tekstowa) ze sprawdzaniem poprawności danych</w:t>
            </w:r>
          </w:p>
        </w:tc>
      </w:tr>
      <w:tr w14:paraId="33FF1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704CC4F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6.4 Tworzenie stron internetowych (HTML/CSS — podstawy)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45B38C8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[A] wie, do czego służą języki HTML i CSS</w:t>
            </w:r>
          </w:p>
          <w:p w14:paraId="0CFF43A6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otwiera kod źródłowy strony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741DCE8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wyjaśnia strukturę znacznaczników &lt;html&gt;, &lt;head&gt;, &lt;body&gt;</w:t>
            </w:r>
          </w:p>
          <w:p w14:paraId="7F01D64C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tworzy prostą stronę z nagłówkami i akapitami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94384FD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wstawia na stronę obrazy, listy i hiperłącza</w:t>
            </w:r>
          </w:p>
          <w:p w14:paraId="4B4D554D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stosuje podstawowe kaskadowe arkusze stylów (CSS) do zmiany kolorów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3327FF1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projektuje własną wizytówkę internetową z estetycznym układem CSS</w:t>
            </w:r>
          </w:p>
          <w:p w14:paraId="50056DE5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dba o poprawność semantyczną kodu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5DCE9F6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tworzy wielostronicowy serwis internetowy o pełnej responsywności i spójnym szablonie graficznym</w:t>
            </w:r>
          </w:p>
        </w:tc>
      </w:tr>
    </w:tbl>
    <w:p w14:paraId="00C57A0E">
      <w:pPr>
        <w:keepNext w:val="0"/>
        <w:keepLines w:val="0"/>
        <w:widowControl/>
        <w:suppressLineNumbers w:val="0"/>
        <w:jc w:val="left"/>
      </w:pPr>
    </w:p>
    <w:p w14:paraId="4F65E2A6">
      <w:bookmarkStart w:id="0" w:name="_GoBack"/>
      <w:bookmarkEnd w:id="0"/>
    </w:p>
    <w:sectPr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9A571F"/>
    <w:rsid w:val="279A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2026-09-02T17:29:00Z</dcterms:created>
  <dc:creator>Anita Proksa</dc:creator>
  <cp:lastModifiedBy>Anita Proksa</cp:lastModifiedBy>
  <dcterms:modified xsi:type="dcterms:W3CDTF">2026-09-02T17:36:18Z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1045-12.1.0.28032</vt:lpwstr>
  </property>
  <property fmtid="{D5CDD505-2E9C-101B-9397-08002B2CF9AE}" pid="3" name="ICV">
    <vt:lpwstr>69EAA138BD204D45AF13FF6C96331EBD_11</vt:lpwstr>
  </property>
  <property fmtid="{D5CDD505-2E9C-101B-9397-08002B2CF9AE}" pid="4" name="KSOTemplateDocerSaveRecord">
    <vt:lpwstr>eyJoZGlkIjoiMTgzOTA1MDVhMzlhOTliODRlOGUwOTljMTBmNzFkYjUiLCJ1c2VySWQiOiIzMDQxNDAzMTkzNTQ1In0=</vt:lpwstr>
  </property>
</Properties>
</file>